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C6051" w14:textId="77777777" w:rsidR="006A4CD6" w:rsidRPr="00356D37" w:rsidRDefault="00BA4E6F" w:rsidP="00BA4E6F">
      <w:pPr>
        <w:jc w:val="center"/>
        <w:rPr>
          <w:b/>
        </w:rPr>
      </w:pPr>
      <w:r w:rsidRPr="00356D37">
        <w:rPr>
          <w:b/>
        </w:rPr>
        <w:t>VIVRE EN PAYS D’AUZE</w:t>
      </w:r>
    </w:p>
    <w:p w14:paraId="06880102" w14:textId="77777777" w:rsidR="00BA4E6F" w:rsidRDefault="00BA4E6F" w:rsidP="00BA4E6F">
      <w:pPr>
        <w:spacing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lang w:eastAsia="fr-BE"/>
        </w:rPr>
      </w:pPr>
      <w:r w:rsidRPr="00356D37">
        <w:rPr>
          <w:rFonts w:eastAsiaTheme="minorEastAsia" w:hAnsi="Calibri"/>
          <w:b/>
          <w:color w:val="000000" w:themeColor="text1"/>
          <w:kern w:val="24"/>
          <w:lang w:eastAsia="fr-BE"/>
        </w:rPr>
        <w:t>ASSEMBLEE GENERALE</w:t>
      </w:r>
    </w:p>
    <w:p w14:paraId="45EBAD1F" w14:textId="77777777" w:rsidR="007E6D8F" w:rsidRPr="00356D37" w:rsidRDefault="007E6D8F" w:rsidP="00BA4E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BE"/>
        </w:rPr>
      </w:pPr>
    </w:p>
    <w:p w14:paraId="2A9B6DB0" w14:textId="77777777" w:rsidR="00BA4E6F" w:rsidRDefault="00BA4E6F" w:rsidP="007E6D8F">
      <w:pPr>
        <w:spacing w:after="0" w:line="240" w:lineRule="auto"/>
        <w:jc w:val="center"/>
        <w:rPr>
          <w:rFonts w:eastAsiaTheme="minorEastAsia" w:hAnsi="Calibri"/>
          <w:color w:val="000000" w:themeColor="text1"/>
          <w:kern w:val="24"/>
          <w:lang w:eastAsia="fr-BE"/>
        </w:rPr>
      </w:pPr>
      <w:r w:rsidRPr="00356D37">
        <w:rPr>
          <w:rFonts w:eastAsiaTheme="minorEastAsia" w:hAnsi="Calibri"/>
          <w:color w:val="000000" w:themeColor="text1"/>
          <w:kern w:val="24"/>
          <w:lang w:eastAsia="fr-BE"/>
        </w:rPr>
        <w:t>13 août 2015</w:t>
      </w:r>
    </w:p>
    <w:p w14:paraId="7D5D6B47" w14:textId="77777777" w:rsidR="007E6D8F" w:rsidRPr="00356D37" w:rsidRDefault="007E6D8F" w:rsidP="007E6D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BE"/>
        </w:rPr>
      </w:pPr>
    </w:p>
    <w:p w14:paraId="27CBC91D" w14:textId="77777777" w:rsidR="00BA4E6F" w:rsidRPr="00356D37" w:rsidRDefault="00BA4E6F" w:rsidP="007E6D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color w:val="000000" w:themeColor="text1"/>
          <w:kern w:val="24"/>
          <w:lang w:eastAsia="fr-BE"/>
        </w:rPr>
        <w:t>Salle de réunion – mairie de Sénezergues – La Chourlie</w:t>
      </w:r>
    </w:p>
    <w:p w14:paraId="4FEF1EA6" w14:textId="77777777" w:rsidR="00BA4E6F" w:rsidRPr="00356D37" w:rsidRDefault="00BA4E6F" w:rsidP="00BA4E6F">
      <w:pPr>
        <w:spacing w:after="0" w:line="240" w:lineRule="auto"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color w:val="000000" w:themeColor="text1"/>
          <w:kern w:val="24"/>
          <w:lang w:eastAsia="fr-BE"/>
        </w:rPr>
        <w:t>   </w:t>
      </w:r>
    </w:p>
    <w:p w14:paraId="23779A3A" w14:textId="77777777" w:rsidR="00BA4E6F" w:rsidRPr="00356D37" w:rsidRDefault="00BA4E6F" w:rsidP="00BA4E6F">
      <w:pPr>
        <w:spacing w:after="0" w:line="240" w:lineRule="auto"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RAPPORT FINANCIER</w:t>
      </w:r>
    </w:p>
    <w:p w14:paraId="3E646755" w14:textId="77777777" w:rsidR="00BA4E6F" w:rsidRPr="00356D37" w:rsidRDefault="00BA4E6F" w:rsidP="00BA4E6F">
      <w:pPr>
        <w:spacing w:after="0" w:line="240" w:lineRule="auto"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RAPPORT AG 2014</w:t>
      </w:r>
    </w:p>
    <w:p w14:paraId="2CDCED90" w14:textId="77777777" w:rsidR="00BA4E6F" w:rsidRPr="00356D37" w:rsidRDefault="00BA4E6F" w:rsidP="00BA4E6F">
      <w:pPr>
        <w:spacing w:after="0" w:line="240" w:lineRule="auto"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RAPPORT MORAL</w:t>
      </w:r>
    </w:p>
    <w:p w14:paraId="3292844E" w14:textId="77777777" w:rsidR="00BA4E6F" w:rsidRPr="00356D37" w:rsidRDefault="00BA4E6F" w:rsidP="00BA4E6F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PROCESSUS JURIDIQUE PANNEAUX</w:t>
      </w:r>
    </w:p>
    <w:p w14:paraId="39EA79C1" w14:textId="77777777" w:rsidR="00BA4E6F" w:rsidRPr="00356D37" w:rsidRDefault="00BA4E6F" w:rsidP="00BA4E6F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CHAUVE SOURIS AUVERGNE</w:t>
      </w:r>
    </w:p>
    <w:p w14:paraId="734DBDA6" w14:textId="77777777" w:rsidR="00BA4E6F" w:rsidRPr="00356D37" w:rsidRDefault="00BA4E6F" w:rsidP="00BA4E6F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FDANE - SENTINELLES DE L’ENVIRONNEMENT</w:t>
      </w:r>
    </w:p>
    <w:p w14:paraId="08716FA9" w14:textId="77777777" w:rsidR="00BA4E6F" w:rsidRPr="00356D37" w:rsidRDefault="00BA4E6F" w:rsidP="00BA4E6F">
      <w:pPr>
        <w:spacing w:after="0" w:line="240" w:lineRule="auto"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 </w:t>
      </w:r>
    </w:p>
    <w:p w14:paraId="02D55EAB" w14:textId="77777777" w:rsidR="00BA4E6F" w:rsidRPr="00356D37" w:rsidRDefault="00BA4E6F" w:rsidP="00BA4E6F">
      <w:pPr>
        <w:spacing w:after="0" w:line="240" w:lineRule="auto"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ADMINISTRATION</w:t>
      </w:r>
    </w:p>
    <w:p w14:paraId="4E9D8968" w14:textId="77777777" w:rsidR="00BA4E6F" w:rsidRPr="00356D37" w:rsidRDefault="00BA4E6F" w:rsidP="00BA4E6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CONSEIL D ’ ADMINISTRATION : CANDIDATURES ET DEMISSIONS</w:t>
      </w:r>
    </w:p>
    <w:p w14:paraId="0CAD38F9" w14:textId="77777777" w:rsidR="00BA4E6F" w:rsidRPr="00356D37" w:rsidRDefault="00BA4E6F" w:rsidP="00BA4E6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SIEGE SOCIAL</w:t>
      </w:r>
    </w:p>
    <w:p w14:paraId="6C6F58EF" w14:textId="77777777" w:rsidR="00BA4E6F" w:rsidRPr="00356D37" w:rsidRDefault="00BA4E6F" w:rsidP="00BA4E6F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 xml:space="preserve">SE PARTAGER DES SECTEURS D’INTERET </w:t>
      </w:r>
    </w:p>
    <w:p w14:paraId="06B3B6AC" w14:textId="77777777" w:rsidR="00BA4E6F" w:rsidRPr="00356D37" w:rsidRDefault="00BA4E6F" w:rsidP="00BA4E6F">
      <w:pPr>
        <w:spacing w:after="0" w:line="240" w:lineRule="auto"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 </w:t>
      </w:r>
    </w:p>
    <w:p w14:paraId="3773A30D" w14:textId="77777777" w:rsidR="00BA4E6F" w:rsidRPr="00356D37" w:rsidRDefault="00BA4E6F" w:rsidP="00BA4E6F">
      <w:pPr>
        <w:spacing w:after="0" w:line="240" w:lineRule="auto"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PROJETS 2015-2016</w:t>
      </w:r>
    </w:p>
    <w:p w14:paraId="6A42F6E6" w14:textId="77777777" w:rsidR="00BA4E6F" w:rsidRPr="00356D37" w:rsidRDefault="00BA4E6F" w:rsidP="00BA4E6F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PANNEAUX - POURSUITE DOMMAGES ET INTERETS</w:t>
      </w:r>
    </w:p>
    <w:p w14:paraId="2606B2D8" w14:textId="77777777" w:rsidR="00BA4E6F" w:rsidRPr="00356D37" w:rsidRDefault="00BA4E6F" w:rsidP="00BA4E6F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EAU POTABLE – SUIVRE TRAVAUX EN CONSEIL COMMUNAUTAIRE</w:t>
      </w:r>
    </w:p>
    <w:p w14:paraId="6A07C169" w14:textId="77777777" w:rsidR="00BA4E6F" w:rsidRPr="00356D37" w:rsidRDefault="00BA4E6F" w:rsidP="00BA4E6F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SAGE</w:t>
      </w:r>
    </w:p>
    <w:p w14:paraId="4693DB25" w14:textId="77777777" w:rsidR="00BA4E6F" w:rsidRPr="00356D37" w:rsidRDefault="00BA4E6F" w:rsidP="00BA4E6F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PROJET LOISIR/ DECOUVERTE (RANDO) NATURE/CULTURE</w:t>
      </w:r>
    </w:p>
    <w:p w14:paraId="314AF9E7" w14:textId="77777777" w:rsidR="00BA4E6F" w:rsidRPr="00356D37" w:rsidRDefault="00BA4E6F" w:rsidP="00BA4E6F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NETTOYAGE DE CHEMINS</w:t>
      </w:r>
    </w:p>
    <w:p w14:paraId="2461D621" w14:textId="77777777" w:rsidR="00BA4E6F" w:rsidRPr="00356D37" w:rsidRDefault="00BA4E6F" w:rsidP="00BA4E6F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fr-BE"/>
        </w:rPr>
      </w:pPr>
      <w:r w:rsidRPr="00356D37">
        <w:rPr>
          <w:rFonts w:eastAsiaTheme="minorEastAsia" w:hAnsi="Calibri"/>
          <w:i/>
          <w:iCs/>
          <w:color w:val="000000" w:themeColor="text1"/>
          <w:kern w:val="24"/>
          <w:lang w:eastAsia="fr-BE"/>
        </w:rPr>
        <w:t>COLLABORATION AVEC ASSOCIATIONS LOCALES DU VEINAZES</w:t>
      </w:r>
    </w:p>
    <w:p w14:paraId="58608734" w14:textId="77777777" w:rsidR="00BA4E6F" w:rsidRPr="00356D37" w:rsidRDefault="00BA4E6F"/>
    <w:p w14:paraId="0A2FC038" w14:textId="2FE45C93" w:rsidR="00BA4E6F" w:rsidRPr="00356D37" w:rsidRDefault="00BA4E6F" w:rsidP="00290DA9">
      <w:pPr>
        <w:jc w:val="both"/>
      </w:pPr>
      <w:r w:rsidRPr="00356D37">
        <w:t xml:space="preserve">L’assemblée s’est constituée à 19 :15, en présence de Robert Schilling, président, Michèle Schilling, Brigitte Revol MacDonald, secrétaire, Henriette Cros, trésorière, et de </w:t>
      </w:r>
      <w:r w:rsidR="00A03CCC" w:rsidRPr="00356D37">
        <w:t>Jea</w:t>
      </w:r>
      <w:r w:rsidR="00EE1ACD" w:rsidRPr="00356D37">
        <w:t>n</w:t>
      </w:r>
      <w:r w:rsidR="00A03CCC" w:rsidRPr="00356D37">
        <w:t xml:space="preserve">-Paul Cros, </w:t>
      </w:r>
      <w:r w:rsidR="00EE1ACD" w:rsidRPr="00356D37">
        <w:t xml:space="preserve">Brigitte Delannoy, </w:t>
      </w:r>
      <w:r w:rsidRPr="00356D37">
        <w:t>Mi</w:t>
      </w:r>
      <w:r w:rsidR="006A4CD6">
        <w:t>chel Dreyfus, Marc-Olivier Baruch</w:t>
      </w:r>
      <w:r w:rsidRPr="00356D37">
        <w:t xml:space="preserve">, Jean-Louis Rapin, </w:t>
      </w:r>
      <w:proofErr w:type="spellStart"/>
      <w:r w:rsidR="00D55D9C">
        <w:t>Maguy</w:t>
      </w:r>
      <w:proofErr w:type="spellEnd"/>
      <w:r w:rsidR="00D55D9C">
        <w:t xml:space="preserve"> et </w:t>
      </w:r>
      <w:r w:rsidR="00A03CCC" w:rsidRPr="00356D37">
        <w:t xml:space="preserve">Guillaume </w:t>
      </w:r>
      <w:proofErr w:type="spellStart"/>
      <w:r w:rsidR="00A03CCC" w:rsidRPr="00356D37">
        <w:t>Alric</w:t>
      </w:r>
      <w:proofErr w:type="spellEnd"/>
      <w:r w:rsidR="00A03CCC" w:rsidRPr="00356D37">
        <w:t xml:space="preserve">, Jean-Claude </w:t>
      </w:r>
      <w:proofErr w:type="spellStart"/>
      <w:r w:rsidR="00A03CCC" w:rsidRPr="00356D37">
        <w:t>Fozza</w:t>
      </w:r>
      <w:proofErr w:type="spellEnd"/>
      <w:r w:rsidR="00A03CCC" w:rsidRPr="00356D37">
        <w:t xml:space="preserve">, Bertrand </w:t>
      </w:r>
      <w:proofErr w:type="spellStart"/>
      <w:r w:rsidR="00A03CCC" w:rsidRPr="00356D37">
        <w:t>Porot</w:t>
      </w:r>
      <w:proofErr w:type="spellEnd"/>
      <w:r w:rsidR="00A03CCC" w:rsidRPr="00356D37">
        <w:t xml:space="preserve">, </w:t>
      </w:r>
      <w:r w:rsidR="00D55D9C">
        <w:t>Marinette et Baptiste</w:t>
      </w:r>
      <w:r w:rsidR="00A03CCC" w:rsidRPr="00356D37">
        <w:t xml:space="preserve"> Servans.</w:t>
      </w:r>
    </w:p>
    <w:p w14:paraId="64EDCE27" w14:textId="06FFBAFA" w:rsidR="00A03CCC" w:rsidRPr="00356D37" w:rsidRDefault="006A4CD6" w:rsidP="00290DA9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rapport financier par </w:t>
      </w:r>
      <w:r w:rsidR="00A03CCC" w:rsidRPr="00356D37">
        <w:rPr>
          <w:sz w:val="22"/>
          <w:szCs w:val="22"/>
        </w:rPr>
        <w:t xml:space="preserve"> Henriette Cros, trésorière, présente un total de 768,97 euros au 1</w:t>
      </w:r>
      <w:r w:rsidR="00A03CCC" w:rsidRPr="00356D37">
        <w:rPr>
          <w:sz w:val="22"/>
          <w:szCs w:val="22"/>
          <w:vertAlign w:val="superscript"/>
        </w:rPr>
        <w:t>er</w:t>
      </w:r>
      <w:r w:rsidR="00A03CCC" w:rsidRPr="00356D37">
        <w:rPr>
          <w:sz w:val="22"/>
          <w:szCs w:val="22"/>
        </w:rPr>
        <w:t xml:space="preserve"> août 2015. </w:t>
      </w:r>
      <w:r>
        <w:rPr>
          <w:sz w:val="22"/>
          <w:szCs w:val="22"/>
        </w:rPr>
        <w:t xml:space="preserve">Cette somme </w:t>
      </w:r>
      <w:r w:rsidR="00A03CCC" w:rsidRPr="00356D37">
        <w:rPr>
          <w:sz w:val="22"/>
          <w:szCs w:val="22"/>
        </w:rPr>
        <w:t xml:space="preserve">inclut un prêt de 300 euros accordé par un membre lors de notre procédure judiciaire en cours. </w:t>
      </w:r>
      <w:r>
        <w:rPr>
          <w:sz w:val="22"/>
          <w:szCs w:val="22"/>
        </w:rPr>
        <w:t>L’</w:t>
      </w:r>
      <w:r w:rsidR="00A03CCC" w:rsidRPr="00356D37">
        <w:rPr>
          <w:sz w:val="22"/>
          <w:szCs w:val="22"/>
        </w:rPr>
        <w:t>urgence étant</w:t>
      </w:r>
      <w:r>
        <w:rPr>
          <w:sz w:val="22"/>
          <w:szCs w:val="22"/>
        </w:rPr>
        <w:t xml:space="preserve"> obsolète</w:t>
      </w:r>
      <w:r w:rsidR="00290DA9">
        <w:rPr>
          <w:sz w:val="22"/>
          <w:szCs w:val="22"/>
        </w:rPr>
        <w:t>, i</w:t>
      </w:r>
      <w:r w:rsidR="00A03CCC" w:rsidRPr="00356D37">
        <w:rPr>
          <w:sz w:val="22"/>
          <w:szCs w:val="22"/>
        </w:rPr>
        <w:t>l est décidé de rembourser ce prêt.</w:t>
      </w:r>
    </w:p>
    <w:p w14:paraId="120A95A6" w14:textId="5E997C5E" w:rsidR="009E2229" w:rsidRPr="00356D37" w:rsidRDefault="009E2229" w:rsidP="00290DA9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 xml:space="preserve">Le rapport d’assemblée générale de </w:t>
      </w:r>
      <w:r w:rsidR="00F26F7D" w:rsidRPr="00356D37">
        <w:rPr>
          <w:sz w:val="22"/>
          <w:szCs w:val="22"/>
        </w:rPr>
        <w:t xml:space="preserve">2013 </w:t>
      </w:r>
      <w:r w:rsidR="00290DA9">
        <w:rPr>
          <w:sz w:val="22"/>
          <w:szCs w:val="22"/>
        </w:rPr>
        <w:t>–</w:t>
      </w:r>
      <w:r w:rsidR="00F26F7D" w:rsidRPr="00356D37">
        <w:rPr>
          <w:sz w:val="22"/>
          <w:szCs w:val="22"/>
        </w:rPr>
        <w:t xml:space="preserve"> </w:t>
      </w:r>
      <w:r w:rsidRPr="00356D37">
        <w:rPr>
          <w:sz w:val="22"/>
          <w:szCs w:val="22"/>
        </w:rPr>
        <w:t>2014</w:t>
      </w:r>
      <w:r w:rsidR="00290DA9">
        <w:rPr>
          <w:sz w:val="22"/>
          <w:szCs w:val="22"/>
        </w:rPr>
        <w:t>, après avoir</w:t>
      </w:r>
      <w:r w:rsidRPr="00356D37">
        <w:rPr>
          <w:sz w:val="22"/>
          <w:szCs w:val="22"/>
        </w:rPr>
        <w:t xml:space="preserve"> </w:t>
      </w:r>
      <w:r w:rsidR="00290DA9">
        <w:rPr>
          <w:sz w:val="22"/>
          <w:szCs w:val="22"/>
        </w:rPr>
        <w:t xml:space="preserve">été </w:t>
      </w:r>
      <w:r w:rsidRPr="00356D37">
        <w:rPr>
          <w:sz w:val="22"/>
          <w:szCs w:val="22"/>
        </w:rPr>
        <w:t>présenté et discuté</w:t>
      </w:r>
      <w:r w:rsidR="00290DA9">
        <w:rPr>
          <w:sz w:val="22"/>
          <w:szCs w:val="22"/>
        </w:rPr>
        <w:t>,</w:t>
      </w:r>
      <w:r w:rsidRPr="00356D37">
        <w:rPr>
          <w:sz w:val="22"/>
          <w:szCs w:val="22"/>
        </w:rPr>
        <w:t xml:space="preserve"> est </w:t>
      </w:r>
      <w:r w:rsidR="00290DA9" w:rsidRPr="00356D37">
        <w:rPr>
          <w:sz w:val="22"/>
          <w:szCs w:val="22"/>
        </w:rPr>
        <w:t xml:space="preserve">unanimement </w:t>
      </w:r>
      <w:r w:rsidRPr="00356D37">
        <w:rPr>
          <w:sz w:val="22"/>
          <w:szCs w:val="22"/>
        </w:rPr>
        <w:t>accepté par les membres présents.</w:t>
      </w:r>
    </w:p>
    <w:p w14:paraId="3B1BAEDD" w14:textId="77777777" w:rsidR="00567B78" w:rsidRPr="00356D37" w:rsidRDefault="00567B78" w:rsidP="00290DA9">
      <w:pPr>
        <w:pStyle w:val="Paragraphedeliste"/>
        <w:jc w:val="both"/>
        <w:rPr>
          <w:sz w:val="22"/>
          <w:szCs w:val="22"/>
        </w:rPr>
      </w:pPr>
    </w:p>
    <w:p w14:paraId="3010188C" w14:textId="77777777" w:rsidR="009E2229" w:rsidRPr="00356D37" w:rsidRDefault="00567B78" w:rsidP="00290DA9">
      <w:pPr>
        <w:jc w:val="both"/>
        <w:rPr>
          <w:b/>
          <w:i/>
        </w:rPr>
      </w:pPr>
      <w:r w:rsidRPr="00356D37">
        <w:rPr>
          <w:b/>
          <w:i/>
        </w:rPr>
        <w:t>RAPPORT MORAL</w:t>
      </w:r>
    </w:p>
    <w:p w14:paraId="748A788A" w14:textId="77777777" w:rsidR="000F56C2" w:rsidRPr="00356D37" w:rsidRDefault="000F56C2" w:rsidP="00290DA9">
      <w:pPr>
        <w:pStyle w:val="Paragraphedeliste"/>
        <w:numPr>
          <w:ilvl w:val="1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>PROCESSUS JURIDIQUE PANNEAUX</w:t>
      </w:r>
    </w:p>
    <w:p w14:paraId="7F3F437C" w14:textId="72318B36" w:rsidR="006E51A2" w:rsidRPr="00356D37" w:rsidRDefault="009E2229" w:rsidP="00290DA9">
      <w:pPr>
        <w:pStyle w:val="Paragraphedeliste"/>
        <w:numPr>
          <w:ilvl w:val="2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 xml:space="preserve">Situation du processus juridique concernant les centrales photovoltaïques sur terre agricole à Leygues et Marcolès : </w:t>
      </w:r>
      <w:r w:rsidR="00E41980" w:rsidRPr="00356D37">
        <w:rPr>
          <w:sz w:val="22"/>
          <w:szCs w:val="22"/>
        </w:rPr>
        <w:t>B Revol</w:t>
      </w:r>
      <w:r w:rsidR="00B6555D" w:rsidRPr="00356D37">
        <w:rPr>
          <w:sz w:val="22"/>
          <w:szCs w:val="22"/>
        </w:rPr>
        <w:t xml:space="preserve"> et H Cros résument les</w:t>
      </w:r>
      <w:r w:rsidR="00E41980" w:rsidRPr="00356D37">
        <w:rPr>
          <w:sz w:val="22"/>
          <w:szCs w:val="22"/>
        </w:rPr>
        <w:t xml:space="preserve"> éléments successifs</w:t>
      </w:r>
      <w:r w:rsidR="006E51A2" w:rsidRPr="00356D37">
        <w:rPr>
          <w:sz w:val="22"/>
          <w:szCs w:val="22"/>
        </w:rPr>
        <w:t> :</w:t>
      </w:r>
      <w:r w:rsidRPr="00356D37">
        <w:rPr>
          <w:sz w:val="22"/>
          <w:szCs w:val="22"/>
        </w:rPr>
        <w:t xml:space="preserve"> de l’échec du recours par Me Martin Laisné pour </w:t>
      </w:r>
      <w:r w:rsidR="00440EF9">
        <w:rPr>
          <w:sz w:val="22"/>
          <w:szCs w:val="22"/>
        </w:rPr>
        <w:t xml:space="preserve">son </w:t>
      </w:r>
      <w:r w:rsidRPr="00356D37">
        <w:rPr>
          <w:sz w:val="22"/>
          <w:szCs w:val="22"/>
        </w:rPr>
        <w:t>non respect de la R-600 1 du code de l’environnement</w:t>
      </w:r>
      <w:r w:rsidR="00A57007" w:rsidRPr="00356D37">
        <w:rPr>
          <w:sz w:val="22"/>
          <w:szCs w:val="22"/>
        </w:rPr>
        <w:t xml:space="preserve">, suivi des tentatives de recours par notre nouveau conseil Me Bocoum, </w:t>
      </w:r>
      <w:r w:rsidR="00440EF9">
        <w:rPr>
          <w:sz w:val="22"/>
          <w:szCs w:val="22"/>
        </w:rPr>
        <w:t xml:space="preserve">à </w:t>
      </w:r>
      <w:r w:rsidR="00A57007" w:rsidRPr="00356D37">
        <w:rPr>
          <w:sz w:val="22"/>
          <w:szCs w:val="22"/>
        </w:rPr>
        <w:t>l’échan</w:t>
      </w:r>
      <w:r w:rsidR="00440EF9">
        <w:rPr>
          <w:sz w:val="22"/>
          <w:szCs w:val="22"/>
        </w:rPr>
        <w:t>ge de courrier avec le bâ</w:t>
      </w:r>
      <w:r w:rsidR="00A57007" w:rsidRPr="00356D37">
        <w:rPr>
          <w:sz w:val="22"/>
          <w:szCs w:val="22"/>
        </w:rPr>
        <w:t xml:space="preserve">tonnier concernant la demande </w:t>
      </w:r>
      <w:r w:rsidR="00E41980" w:rsidRPr="00356D37">
        <w:rPr>
          <w:sz w:val="22"/>
          <w:szCs w:val="22"/>
        </w:rPr>
        <w:t>par</w:t>
      </w:r>
      <w:r w:rsidR="00A57007" w:rsidRPr="00356D37">
        <w:rPr>
          <w:sz w:val="22"/>
          <w:szCs w:val="22"/>
        </w:rPr>
        <w:t xml:space="preserve"> </w:t>
      </w:r>
      <w:r w:rsidR="00440EF9">
        <w:rPr>
          <w:sz w:val="22"/>
          <w:szCs w:val="22"/>
        </w:rPr>
        <w:t>l’association pour dommages et i</w:t>
      </w:r>
      <w:r w:rsidR="00A57007" w:rsidRPr="00356D37">
        <w:rPr>
          <w:sz w:val="22"/>
          <w:szCs w:val="22"/>
        </w:rPr>
        <w:t>ntérêts. Ce</w:t>
      </w:r>
      <w:r w:rsidR="00B6555D" w:rsidRPr="00356D37">
        <w:rPr>
          <w:sz w:val="22"/>
          <w:szCs w:val="22"/>
        </w:rPr>
        <w:t xml:space="preserve"> derni</w:t>
      </w:r>
      <w:r w:rsidR="00440EF9">
        <w:rPr>
          <w:sz w:val="22"/>
          <w:szCs w:val="22"/>
        </w:rPr>
        <w:t>er processus est en cours, le bâ</w:t>
      </w:r>
      <w:r w:rsidR="00B6555D" w:rsidRPr="00356D37">
        <w:rPr>
          <w:sz w:val="22"/>
          <w:szCs w:val="22"/>
        </w:rPr>
        <w:t>tonnier ayant recommandé à Me Martin Laisné de faire une déclaration de sinistre auprès de la société de courtage de</w:t>
      </w:r>
      <w:r w:rsidR="00440EF9">
        <w:rPr>
          <w:sz w:val="22"/>
          <w:szCs w:val="22"/>
        </w:rPr>
        <w:t>s barreaux. L’affaire est</w:t>
      </w:r>
      <w:r w:rsidR="00B6555D" w:rsidRPr="00356D37">
        <w:rPr>
          <w:sz w:val="22"/>
          <w:szCs w:val="22"/>
        </w:rPr>
        <w:t xml:space="preserve"> à suivre.</w:t>
      </w:r>
    </w:p>
    <w:p w14:paraId="390CE7E7" w14:textId="2F0F8527" w:rsidR="006E51A2" w:rsidRPr="00356D37" w:rsidRDefault="006E51A2" w:rsidP="00290DA9">
      <w:pPr>
        <w:pStyle w:val="Paragraphedeliste"/>
        <w:numPr>
          <w:ilvl w:val="2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>Enfin</w:t>
      </w:r>
      <w:r w:rsidR="00B503B0">
        <w:rPr>
          <w:sz w:val="22"/>
          <w:szCs w:val="22"/>
        </w:rPr>
        <w:t>,</w:t>
      </w:r>
      <w:r w:rsidRPr="00356D37">
        <w:rPr>
          <w:sz w:val="22"/>
          <w:szCs w:val="22"/>
        </w:rPr>
        <w:t xml:space="preserve"> depuis deux ans</w:t>
      </w:r>
      <w:r w:rsidR="00B503B0">
        <w:rPr>
          <w:sz w:val="22"/>
          <w:szCs w:val="22"/>
        </w:rPr>
        <w:t>,</w:t>
      </w:r>
      <w:r w:rsidRPr="00356D37">
        <w:rPr>
          <w:sz w:val="22"/>
          <w:szCs w:val="22"/>
        </w:rPr>
        <w:t xml:space="preserve"> notre association était accusée de recours abusif par les sociétés photovoltaïques Intersolaire et Solaire Direct et </w:t>
      </w:r>
      <w:r w:rsidR="00B503B0">
        <w:rPr>
          <w:sz w:val="22"/>
          <w:szCs w:val="22"/>
        </w:rPr>
        <w:t xml:space="preserve">est </w:t>
      </w:r>
      <w:r w:rsidRPr="00356D37">
        <w:rPr>
          <w:sz w:val="22"/>
          <w:szCs w:val="22"/>
        </w:rPr>
        <w:t xml:space="preserve">menacée d’une </w:t>
      </w:r>
      <w:r w:rsidRPr="00356D37">
        <w:rPr>
          <w:sz w:val="22"/>
          <w:szCs w:val="22"/>
        </w:rPr>
        <w:lastRenderedPageBreak/>
        <w:t xml:space="preserve">amende de plus de 300 000 euros. </w:t>
      </w:r>
      <w:r w:rsidR="00B503B0">
        <w:rPr>
          <w:sz w:val="22"/>
          <w:szCs w:val="22"/>
        </w:rPr>
        <w:t xml:space="preserve">Mais </w:t>
      </w:r>
      <w:r w:rsidRPr="00356D37">
        <w:rPr>
          <w:sz w:val="22"/>
          <w:szCs w:val="22"/>
        </w:rPr>
        <w:t>le 9 janvier 2015 le Tribunal de Grande Instance d'AURILLAC a décidé de débouter ces Sociétés pour preuves insuffisantes du préjudice qu’elles invoquent.</w:t>
      </w:r>
    </w:p>
    <w:p w14:paraId="3F296C7F" w14:textId="4EBA9AEB" w:rsidR="00E41980" w:rsidRPr="00356D37" w:rsidRDefault="000244A3" w:rsidP="00290DA9">
      <w:pPr>
        <w:pStyle w:val="Paragraphedeliste"/>
        <w:numPr>
          <w:ilvl w:val="2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>Un rappel</w:t>
      </w:r>
      <w:r w:rsidR="00E41980" w:rsidRPr="00356D37">
        <w:rPr>
          <w:sz w:val="22"/>
          <w:szCs w:val="22"/>
        </w:rPr>
        <w:t xml:space="preserve"> des dysfoncti</w:t>
      </w:r>
      <w:r w:rsidRPr="00356D37">
        <w:rPr>
          <w:sz w:val="22"/>
          <w:szCs w:val="22"/>
        </w:rPr>
        <w:t>o</w:t>
      </w:r>
      <w:r w:rsidR="00B503B0">
        <w:rPr>
          <w:sz w:val="22"/>
          <w:szCs w:val="22"/>
        </w:rPr>
        <w:t>n</w:t>
      </w:r>
      <w:r w:rsidRPr="00356D37">
        <w:rPr>
          <w:sz w:val="22"/>
          <w:szCs w:val="22"/>
        </w:rPr>
        <w:t>n</w:t>
      </w:r>
      <w:r w:rsidR="00B503B0">
        <w:rPr>
          <w:sz w:val="22"/>
          <w:szCs w:val="22"/>
        </w:rPr>
        <w:t>ements observé</w:t>
      </w:r>
      <w:r w:rsidRPr="00356D37">
        <w:rPr>
          <w:sz w:val="22"/>
          <w:szCs w:val="22"/>
        </w:rPr>
        <w:t>s depuis le début des</w:t>
      </w:r>
      <w:r w:rsidR="00E41980" w:rsidRPr="00356D37">
        <w:rPr>
          <w:sz w:val="22"/>
          <w:szCs w:val="22"/>
        </w:rPr>
        <w:t xml:space="preserve"> projet</w:t>
      </w:r>
      <w:r w:rsidRPr="00356D37">
        <w:rPr>
          <w:sz w:val="22"/>
          <w:szCs w:val="22"/>
        </w:rPr>
        <w:t>s</w:t>
      </w:r>
      <w:r w:rsidR="00E41980" w:rsidRPr="00356D37">
        <w:rPr>
          <w:sz w:val="22"/>
          <w:szCs w:val="22"/>
        </w:rPr>
        <w:t xml:space="preserve"> en 2012 est fait à l’attention de tous les membres. On observe </w:t>
      </w:r>
      <w:r w:rsidR="00B503B0">
        <w:rPr>
          <w:sz w:val="22"/>
          <w:szCs w:val="22"/>
        </w:rPr>
        <w:t xml:space="preserve">de plus </w:t>
      </w:r>
      <w:r w:rsidR="00E41980" w:rsidRPr="00356D37">
        <w:rPr>
          <w:sz w:val="22"/>
          <w:szCs w:val="22"/>
        </w:rPr>
        <w:t>que l</w:t>
      </w:r>
      <w:r w:rsidR="00A57007" w:rsidRPr="00356D37">
        <w:rPr>
          <w:sz w:val="22"/>
          <w:szCs w:val="22"/>
        </w:rPr>
        <w:t>es pr</w:t>
      </w:r>
      <w:r w:rsidR="00B503B0">
        <w:rPr>
          <w:sz w:val="22"/>
          <w:szCs w:val="22"/>
        </w:rPr>
        <w:t>atiques illégales continuent : a</w:t>
      </w:r>
      <w:r w:rsidR="00A57007" w:rsidRPr="00356D37">
        <w:rPr>
          <w:sz w:val="22"/>
          <w:szCs w:val="22"/>
        </w:rPr>
        <w:t>insi l’installation des panneaux à Marcolès a eu lieu sans qu’une ouverture de chantier n’ai</w:t>
      </w:r>
      <w:r w:rsidR="00E41980" w:rsidRPr="00356D37">
        <w:rPr>
          <w:sz w:val="22"/>
          <w:szCs w:val="22"/>
        </w:rPr>
        <w:t>t</w:t>
      </w:r>
      <w:r w:rsidR="00A57007" w:rsidRPr="00356D37">
        <w:rPr>
          <w:sz w:val="22"/>
          <w:szCs w:val="22"/>
        </w:rPr>
        <w:t xml:space="preserve"> </w:t>
      </w:r>
      <w:r w:rsidR="00B6555D" w:rsidRPr="00356D37">
        <w:rPr>
          <w:sz w:val="22"/>
          <w:szCs w:val="22"/>
        </w:rPr>
        <w:t xml:space="preserve">jamais </w:t>
      </w:r>
      <w:r w:rsidR="00A57007" w:rsidRPr="00356D37">
        <w:rPr>
          <w:sz w:val="22"/>
          <w:szCs w:val="22"/>
        </w:rPr>
        <w:t>été notifiée</w:t>
      </w:r>
      <w:r w:rsidR="00B6555D" w:rsidRPr="00356D37">
        <w:rPr>
          <w:sz w:val="22"/>
          <w:szCs w:val="22"/>
        </w:rPr>
        <w:t>. Or l’inauguration de la centrale a été faite, récemment, par le président Hollande lui-même</w:t>
      </w:r>
      <w:r w:rsidR="00A57007" w:rsidRPr="00356D37">
        <w:rPr>
          <w:sz w:val="22"/>
          <w:szCs w:val="22"/>
        </w:rPr>
        <w:t>. A Sénezergues de mauvais branchements auraient été faits, et l’utilisation de main d’œuvre illicite aurait fait l’objet d’</w:t>
      </w:r>
      <w:r w:rsidR="00E41980" w:rsidRPr="00356D37">
        <w:rPr>
          <w:sz w:val="22"/>
          <w:szCs w:val="22"/>
        </w:rPr>
        <w:t>un dossier qui aurait</w:t>
      </w:r>
      <w:r w:rsidR="00A57007" w:rsidRPr="00356D37">
        <w:rPr>
          <w:sz w:val="22"/>
          <w:szCs w:val="22"/>
        </w:rPr>
        <w:t xml:space="preserve"> maintenant </w:t>
      </w:r>
      <w:r w:rsidR="00E41980" w:rsidRPr="00356D37">
        <w:rPr>
          <w:sz w:val="22"/>
          <w:szCs w:val="22"/>
        </w:rPr>
        <w:t xml:space="preserve">été </w:t>
      </w:r>
      <w:r w:rsidR="00A57007" w:rsidRPr="00356D37">
        <w:rPr>
          <w:sz w:val="22"/>
          <w:szCs w:val="22"/>
        </w:rPr>
        <w:t xml:space="preserve">transféré au parquet de Rodez. </w:t>
      </w:r>
    </w:p>
    <w:p w14:paraId="33342D56" w14:textId="3469C219" w:rsidR="00E41980" w:rsidRPr="00356D37" w:rsidRDefault="00E41980" w:rsidP="00290DA9">
      <w:pPr>
        <w:pStyle w:val="Paragraphedeliste"/>
        <w:numPr>
          <w:ilvl w:val="2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>Un impact visible observé récemment après l’installation des pann</w:t>
      </w:r>
      <w:r w:rsidR="00D518F8">
        <w:rPr>
          <w:sz w:val="22"/>
          <w:szCs w:val="22"/>
        </w:rPr>
        <w:t>eaux à Leygues est</w:t>
      </w:r>
      <w:r w:rsidRPr="00356D37">
        <w:rPr>
          <w:sz w:val="22"/>
          <w:szCs w:val="22"/>
        </w:rPr>
        <w:t xml:space="preserve"> une coulée de boue coupant la route près de cette centrale.</w:t>
      </w:r>
    </w:p>
    <w:p w14:paraId="73BC16FA" w14:textId="57B3115B" w:rsidR="00E41980" w:rsidRPr="00356D37" w:rsidRDefault="00D518F8" w:rsidP="00290DA9">
      <w:pPr>
        <w:pStyle w:val="Paragraphedeliste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Rapport de </w:t>
      </w:r>
      <w:r w:rsidR="00475C9D">
        <w:rPr>
          <w:sz w:val="22"/>
          <w:szCs w:val="22"/>
        </w:rPr>
        <w:t>« </w:t>
      </w:r>
      <w:r>
        <w:rPr>
          <w:sz w:val="22"/>
          <w:szCs w:val="22"/>
        </w:rPr>
        <w:t>C</w:t>
      </w:r>
      <w:r w:rsidR="000244A3" w:rsidRPr="00356D37">
        <w:rPr>
          <w:sz w:val="22"/>
          <w:szCs w:val="22"/>
        </w:rPr>
        <w:t>hauve-souris Auvergne</w:t>
      </w:r>
      <w:r w:rsidR="00475C9D">
        <w:rPr>
          <w:sz w:val="22"/>
          <w:szCs w:val="22"/>
        </w:rPr>
        <w:t> »</w:t>
      </w:r>
      <w:r w:rsidR="000244A3" w:rsidRPr="00356D37">
        <w:rPr>
          <w:sz w:val="22"/>
          <w:szCs w:val="22"/>
        </w:rPr>
        <w:t>. Celui-ci est présenté par Bertrand et concerne la population de</w:t>
      </w:r>
      <w:r>
        <w:rPr>
          <w:sz w:val="22"/>
          <w:szCs w:val="22"/>
        </w:rPr>
        <w:t>s</w:t>
      </w:r>
      <w:r w:rsidR="000244A3" w:rsidRPr="00356D37">
        <w:rPr>
          <w:sz w:val="22"/>
          <w:szCs w:val="22"/>
        </w:rPr>
        <w:t xml:space="preserve"> chauve-souris, espèce protégée, dans la région de Sénezergues. Ce rapport indique, entre autre, de quelle manière une grande surface de panneaux solaires représente un danger </w:t>
      </w:r>
      <w:r w:rsidR="009A276B" w:rsidRPr="00356D37">
        <w:rPr>
          <w:sz w:val="22"/>
          <w:szCs w:val="22"/>
        </w:rPr>
        <w:t xml:space="preserve">potentiel pour les jeunes. En effet ceux-ci prennent les surfaces brillantes pour de l’eau et peuvent s’épuiser à force de descendre sur des plaques de verre. Le rapport est consultable auprès de </w:t>
      </w:r>
      <w:r w:rsidR="009A276B" w:rsidRPr="00475C9D">
        <w:rPr>
          <w:i/>
          <w:sz w:val="22"/>
          <w:szCs w:val="22"/>
        </w:rPr>
        <w:t>Vivre en Pays d’Auze</w:t>
      </w:r>
      <w:r w:rsidR="009A276B" w:rsidRPr="00356D37">
        <w:rPr>
          <w:sz w:val="22"/>
          <w:szCs w:val="22"/>
        </w:rPr>
        <w:t xml:space="preserve"> et</w:t>
      </w:r>
      <w:r w:rsidR="00EE1ACD" w:rsidRPr="00356D37">
        <w:rPr>
          <w:sz w:val="22"/>
          <w:szCs w:val="22"/>
        </w:rPr>
        <w:t xml:space="preserve"> sur le site internet de </w:t>
      </w:r>
      <w:r w:rsidR="00475C9D">
        <w:rPr>
          <w:sz w:val="22"/>
          <w:szCs w:val="22"/>
        </w:rPr>
        <w:t>« </w:t>
      </w:r>
      <w:r w:rsidR="00EE1ACD" w:rsidRPr="00356D37">
        <w:rPr>
          <w:sz w:val="22"/>
          <w:szCs w:val="22"/>
        </w:rPr>
        <w:t>Chauve-</w:t>
      </w:r>
      <w:r w:rsidR="009A276B" w:rsidRPr="00356D37">
        <w:rPr>
          <w:sz w:val="22"/>
          <w:szCs w:val="22"/>
        </w:rPr>
        <w:t>Souris Auvergne</w:t>
      </w:r>
      <w:r w:rsidR="00475C9D">
        <w:rPr>
          <w:sz w:val="22"/>
          <w:szCs w:val="22"/>
        </w:rPr>
        <w:t> »</w:t>
      </w:r>
      <w:r w:rsidR="009A276B" w:rsidRPr="00356D37">
        <w:rPr>
          <w:sz w:val="22"/>
          <w:szCs w:val="22"/>
        </w:rPr>
        <w:t>.</w:t>
      </w:r>
    </w:p>
    <w:p w14:paraId="11CA73C1" w14:textId="77777777" w:rsidR="009A276B" w:rsidRPr="00356D37" w:rsidRDefault="009A276B" w:rsidP="00290DA9">
      <w:pPr>
        <w:pStyle w:val="Paragraphedeliste"/>
        <w:numPr>
          <w:ilvl w:val="1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 xml:space="preserve">FDANE et « Sentinelles de l’Environnement ». </w:t>
      </w:r>
    </w:p>
    <w:p w14:paraId="1EC75B34" w14:textId="1F4789CB" w:rsidR="009A276B" w:rsidRPr="00356D37" w:rsidRDefault="009A276B" w:rsidP="00290DA9">
      <w:pPr>
        <w:pStyle w:val="Paragraphedeliste"/>
        <w:numPr>
          <w:ilvl w:val="2"/>
          <w:numId w:val="4"/>
        </w:numPr>
        <w:jc w:val="both"/>
        <w:rPr>
          <w:sz w:val="22"/>
          <w:szCs w:val="22"/>
        </w:rPr>
      </w:pPr>
      <w:r w:rsidRPr="00475C9D">
        <w:rPr>
          <w:i/>
          <w:sz w:val="22"/>
          <w:szCs w:val="22"/>
        </w:rPr>
        <w:t>Vivre en Pays d’Auze</w:t>
      </w:r>
      <w:r w:rsidRPr="00356D37">
        <w:rPr>
          <w:sz w:val="22"/>
          <w:szCs w:val="22"/>
        </w:rPr>
        <w:t xml:space="preserve"> est membre de FDANE depuis 20</w:t>
      </w:r>
      <w:r w:rsidR="00475C9D">
        <w:rPr>
          <w:sz w:val="22"/>
          <w:szCs w:val="22"/>
        </w:rPr>
        <w:t>14.  Robert Schilling, présent lors de</w:t>
      </w:r>
      <w:r w:rsidRPr="00356D37">
        <w:rPr>
          <w:sz w:val="22"/>
          <w:szCs w:val="22"/>
        </w:rPr>
        <w:t xml:space="preserve"> la dernière AG, explique le programme de </w:t>
      </w:r>
      <w:r w:rsidR="00475C9D">
        <w:rPr>
          <w:sz w:val="22"/>
          <w:szCs w:val="22"/>
        </w:rPr>
        <w:t>« </w:t>
      </w:r>
      <w:r w:rsidRPr="00356D37">
        <w:rPr>
          <w:sz w:val="22"/>
          <w:szCs w:val="22"/>
        </w:rPr>
        <w:t>Sentinelles de l’Environnement</w:t>
      </w:r>
      <w:r w:rsidR="00475C9D">
        <w:rPr>
          <w:sz w:val="22"/>
          <w:szCs w:val="22"/>
        </w:rPr>
        <w:t> »</w:t>
      </w:r>
      <w:r w:rsidRPr="00356D37">
        <w:rPr>
          <w:sz w:val="22"/>
          <w:szCs w:val="22"/>
        </w:rPr>
        <w:t xml:space="preserve"> qui se met en place.</w:t>
      </w:r>
    </w:p>
    <w:p w14:paraId="6102942F" w14:textId="752D9C07" w:rsidR="009A276B" w:rsidRPr="00356D37" w:rsidRDefault="00801367" w:rsidP="00290DA9">
      <w:pPr>
        <w:pStyle w:val="Paragraphedeliste"/>
        <w:numPr>
          <w:ilvl w:val="3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>Robert rappelle le problème de pesticide</w:t>
      </w:r>
      <w:r w:rsidR="007D76C7">
        <w:rPr>
          <w:sz w:val="22"/>
          <w:szCs w:val="22"/>
        </w:rPr>
        <w:t>s</w:t>
      </w:r>
      <w:r w:rsidRPr="00356D37">
        <w:rPr>
          <w:sz w:val="22"/>
          <w:szCs w:val="22"/>
        </w:rPr>
        <w:t xml:space="preserve"> à Lacapelle del Fraysse, qui se retrouve</w:t>
      </w:r>
      <w:r w:rsidR="007D76C7">
        <w:rPr>
          <w:sz w:val="22"/>
          <w:szCs w:val="22"/>
        </w:rPr>
        <w:t>nt</w:t>
      </w:r>
      <w:r w:rsidRPr="00356D37">
        <w:rPr>
          <w:sz w:val="22"/>
          <w:szCs w:val="22"/>
        </w:rPr>
        <w:t xml:space="preserve"> directement dans le</w:t>
      </w:r>
      <w:r w:rsidR="007D76C7">
        <w:rPr>
          <w:sz w:val="22"/>
          <w:szCs w:val="22"/>
        </w:rPr>
        <w:t>s eaux à la source du Célé, et la manière dont</w:t>
      </w:r>
      <w:r w:rsidRPr="00356D37">
        <w:rPr>
          <w:sz w:val="22"/>
          <w:szCs w:val="22"/>
        </w:rPr>
        <w:t xml:space="preserve"> les gendarmes</w:t>
      </w:r>
      <w:r w:rsidR="007D76C7">
        <w:rPr>
          <w:sz w:val="22"/>
          <w:szCs w:val="22"/>
        </w:rPr>
        <w:t xml:space="preserve"> ont procédé à</w:t>
      </w:r>
      <w:r w:rsidRPr="00356D37">
        <w:rPr>
          <w:sz w:val="22"/>
          <w:szCs w:val="22"/>
        </w:rPr>
        <w:t xml:space="preserve"> une main courante, </w:t>
      </w:r>
      <w:r w:rsidR="007D76C7">
        <w:rPr>
          <w:sz w:val="22"/>
          <w:szCs w:val="22"/>
        </w:rPr>
        <w:t>puis ont invité</w:t>
      </w:r>
      <w:r w:rsidRPr="00356D37">
        <w:rPr>
          <w:sz w:val="22"/>
          <w:szCs w:val="22"/>
        </w:rPr>
        <w:t xml:space="preserve"> le fermier « négligent » à signer, en mairie, un engagement à ne plus polluer. Ni DDT ni DRAAF ne s’</w:t>
      </w:r>
      <w:r w:rsidR="00301905" w:rsidRPr="00356D37">
        <w:rPr>
          <w:sz w:val="22"/>
          <w:szCs w:val="22"/>
        </w:rPr>
        <w:t>intéressent au problème;  les techniciens de l’eau du SAGE Célé ne sont pas informés.</w:t>
      </w:r>
      <w:r w:rsidRPr="00356D37">
        <w:rPr>
          <w:sz w:val="22"/>
          <w:szCs w:val="22"/>
        </w:rPr>
        <w:t xml:space="preserve"> La condition déjà très douce, de ne pas polluer à moins de 5 mètres en bordure d’une simple rigole, n’est même pas respectée, le pesticide étant appliqué très directement dans la rivière. </w:t>
      </w:r>
      <w:r w:rsidR="00301905" w:rsidRPr="00356D37">
        <w:rPr>
          <w:sz w:val="22"/>
          <w:szCs w:val="22"/>
        </w:rPr>
        <w:t>Resultat</w:t>
      </w:r>
      <w:r w:rsidR="007D76C7">
        <w:rPr>
          <w:sz w:val="22"/>
          <w:szCs w:val="22"/>
        </w:rPr>
        <w:t xml:space="preserve"> </w:t>
      </w:r>
      <w:r w:rsidR="00301905" w:rsidRPr="00356D37">
        <w:rPr>
          <w:sz w:val="22"/>
          <w:szCs w:val="22"/>
        </w:rPr>
        <w:t xml:space="preserve">= </w:t>
      </w:r>
      <w:r w:rsidR="007D76C7">
        <w:rPr>
          <w:sz w:val="22"/>
          <w:szCs w:val="22"/>
        </w:rPr>
        <w:t>i</w:t>
      </w:r>
      <w:r w:rsidRPr="00356D37">
        <w:rPr>
          <w:sz w:val="22"/>
          <w:szCs w:val="22"/>
        </w:rPr>
        <w:t>l n’</w:t>
      </w:r>
      <w:r w:rsidR="00301905" w:rsidRPr="00356D37">
        <w:rPr>
          <w:sz w:val="22"/>
          <w:szCs w:val="22"/>
        </w:rPr>
        <w:t xml:space="preserve">y </w:t>
      </w:r>
      <w:r w:rsidR="007D76C7">
        <w:rPr>
          <w:sz w:val="22"/>
          <w:szCs w:val="22"/>
        </w:rPr>
        <w:t xml:space="preserve">a </w:t>
      </w:r>
      <w:r w:rsidR="00301905" w:rsidRPr="00356D37">
        <w:rPr>
          <w:sz w:val="22"/>
          <w:szCs w:val="22"/>
        </w:rPr>
        <w:t>eu</w:t>
      </w:r>
      <w:r w:rsidRPr="00356D37">
        <w:rPr>
          <w:sz w:val="22"/>
          <w:szCs w:val="22"/>
        </w:rPr>
        <w:t xml:space="preserve"> aucune suite à la plainte déposée par Baptiste et Bruel. </w:t>
      </w:r>
    </w:p>
    <w:p w14:paraId="3AFBB50D" w14:textId="77777777" w:rsidR="00301905" w:rsidRPr="00356D37" w:rsidRDefault="00301905" w:rsidP="00290DA9">
      <w:pPr>
        <w:pStyle w:val="Paragraphedeliste"/>
        <w:numPr>
          <w:ilvl w:val="3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>Un autre exemple de violation environnementale citée par Baptiste est le drainage du champ du Peyrou – alors que la zone humide doit être respectée – pendant tout un mois par une pelleteuse.</w:t>
      </w:r>
    </w:p>
    <w:p w14:paraId="655D95BA" w14:textId="5E9CE5C9" w:rsidR="00301905" w:rsidRPr="00C6133B" w:rsidRDefault="00301905" w:rsidP="00290DA9">
      <w:pPr>
        <w:pStyle w:val="Paragraphedeliste"/>
        <w:numPr>
          <w:ilvl w:val="3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>La FDANE met donc en place un système de fiche à remplir, accessible à chacun</w:t>
      </w:r>
      <w:r w:rsidR="00C6133B">
        <w:rPr>
          <w:sz w:val="22"/>
          <w:szCs w:val="22"/>
        </w:rPr>
        <w:t>,</w:t>
      </w:r>
      <w:r w:rsidRPr="00356D37">
        <w:rPr>
          <w:sz w:val="22"/>
          <w:szCs w:val="22"/>
        </w:rPr>
        <w:t xml:space="preserve"> pour documenter une violation environnementale et faire remonter l’information qui sera traitée puis gérée par la FDANE. </w:t>
      </w:r>
      <w:r w:rsidR="00EE1ACD" w:rsidRPr="00C6133B">
        <w:rPr>
          <w:sz w:val="22"/>
          <w:szCs w:val="22"/>
        </w:rPr>
        <w:t>Ce système est déjà mis en place en Rhone-Alpes</w:t>
      </w:r>
      <w:r w:rsidR="00C6133B" w:rsidRPr="00C6133B">
        <w:rPr>
          <w:sz w:val="22"/>
          <w:szCs w:val="22"/>
        </w:rPr>
        <w:t>,</w:t>
      </w:r>
      <w:r w:rsidR="00EE1ACD" w:rsidRPr="00C6133B">
        <w:rPr>
          <w:sz w:val="22"/>
          <w:szCs w:val="22"/>
        </w:rPr>
        <w:t xml:space="preserve"> et la FRAPNA accompagne cette procédure en Isère. De même pour la Bretagne et Midi-Pyrénées.</w:t>
      </w:r>
      <w:r w:rsidR="00B76F1B" w:rsidRPr="00C6133B">
        <w:rPr>
          <w:sz w:val="22"/>
          <w:szCs w:val="22"/>
        </w:rPr>
        <w:t xml:space="preserve"> Les alertes sont gérées par des juristes</w:t>
      </w:r>
      <w:r w:rsidR="00567B78" w:rsidRPr="00C6133B">
        <w:rPr>
          <w:sz w:val="22"/>
          <w:szCs w:val="22"/>
        </w:rPr>
        <w:t xml:space="preserve"> compé</w:t>
      </w:r>
      <w:r w:rsidR="00C6133B">
        <w:rPr>
          <w:sz w:val="22"/>
          <w:szCs w:val="22"/>
        </w:rPr>
        <w:t>tents. S’ensuivent une phase d’</w:t>
      </w:r>
      <w:r w:rsidR="00567B78" w:rsidRPr="00C6133B">
        <w:rPr>
          <w:sz w:val="22"/>
          <w:szCs w:val="22"/>
        </w:rPr>
        <w:t>observation, puis une qualification juridique des faits. Après avoir reçu une alerte</w:t>
      </w:r>
      <w:r w:rsidR="00C6133B">
        <w:rPr>
          <w:sz w:val="22"/>
          <w:szCs w:val="22"/>
        </w:rPr>
        <w:t>,</w:t>
      </w:r>
      <w:r w:rsidR="00567B78" w:rsidRPr="00C6133B">
        <w:rPr>
          <w:sz w:val="22"/>
          <w:szCs w:val="22"/>
        </w:rPr>
        <w:t xml:space="preserve"> les stades suivants sont :</w:t>
      </w:r>
    </w:p>
    <w:p w14:paraId="5245F0E3" w14:textId="442833E6" w:rsidR="00567B78" w:rsidRPr="00356D37" w:rsidRDefault="00567B78" w:rsidP="00290DA9">
      <w:pPr>
        <w:pStyle w:val="Paragraphedeliste"/>
        <w:numPr>
          <w:ilvl w:val="4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>Démarche amiable</w:t>
      </w:r>
      <w:r w:rsidR="00C6133B">
        <w:rPr>
          <w:sz w:val="22"/>
          <w:szCs w:val="22"/>
        </w:rPr>
        <w:t>.</w:t>
      </w:r>
    </w:p>
    <w:p w14:paraId="60371904" w14:textId="555BDD43" w:rsidR="00567B78" w:rsidRPr="00356D37" w:rsidRDefault="00567B78" w:rsidP="00290DA9">
      <w:pPr>
        <w:pStyle w:val="Paragraphedeliste"/>
        <w:numPr>
          <w:ilvl w:val="4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>Echelle administrative</w:t>
      </w:r>
      <w:r w:rsidR="00C6133B">
        <w:rPr>
          <w:sz w:val="22"/>
          <w:szCs w:val="22"/>
        </w:rPr>
        <w:t>.</w:t>
      </w:r>
    </w:p>
    <w:p w14:paraId="3CC7A584" w14:textId="404443F5" w:rsidR="00567B78" w:rsidRPr="00356D37" w:rsidRDefault="00567B78" w:rsidP="00290DA9">
      <w:pPr>
        <w:pStyle w:val="Paragraphedeliste"/>
        <w:numPr>
          <w:ilvl w:val="4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>Interlocuteur FRAPNA, FDANE ou FNE</w:t>
      </w:r>
      <w:r w:rsidR="00C6133B">
        <w:rPr>
          <w:sz w:val="22"/>
          <w:szCs w:val="22"/>
        </w:rPr>
        <w:t>.</w:t>
      </w:r>
    </w:p>
    <w:p w14:paraId="5225847B" w14:textId="15EFE812" w:rsidR="00567B78" w:rsidRPr="00356D37" w:rsidRDefault="00567B78" w:rsidP="00290DA9">
      <w:pPr>
        <w:pStyle w:val="Paragraphedeliste"/>
        <w:numPr>
          <w:ilvl w:val="4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>Procédure juridique</w:t>
      </w:r>
      <w:r w:rsidR="00C6133B">
        <w:rPr>
          <w:sz w:val="22"/>
          <w:szCs w:val="22"/>
        </w:rPr>
        <w:t>.</w:t>
      </w:r>
    </w:p>
    <w:p w14:paraId="04584020" w14:textId="6750F63B" w:rsidR="00B76F1B" w:rsidRPr="00356D37" w:rsidRDefault="00B76F1B" w:rsidP="00290DA9">
      <w:pPr>
        <w:pStyle w:val="Paragraphedeliste"/>
        <w:numPr>
          <w:ilvl w:val="3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 xml:space="preserve">Cette information est reçue avec scepticisme dans notre groupe vis-à-vis de ce qui ressemble trop </w:t>
      </w:r>
      <w:r w:rsidR="00C6133B" w:rsidRPr="00356D37">
        <w:rPr>
          <w:sz w:val="22"/>
          <w:szCs w:val="22"/>
        </w:rPr>
        <w:t xml:space="preserve">d’une part </w:t>
      </w:r>
      <w:r w:rsidRPr="00356D37">
        <w:rPr>
          <w:sz w:val="22"/>
          <w:szCs w:val="22"/>
        </w:rPr>
        <w:t xml:space="preserve">à de la dénonciation, et reste </w:t>
      </w:r>
      <w:r w:rsidR="00C6133B">
        <w:rPr>
          <w:sz w:val="22"/>
          <w:szCs w:val="22"/>
        </w:rPr>
        <w:t xml:space="preserve">d’autre part </w:t>
      </w:r>
      <w:r w:rsidRPr="00356D37">
        <w:rPr>
          <w:sz w:val="22"/>
          <w:szCs w:val="22"/>
        </w:rPr>
        <w:t xml:space="preserve">une démarche </w:t>
      </w:r>
      <w:r w:rsidR="00C6133B">
        <w:rPr>
          <w:sz w:val="22"/>
          <w:szCs w:val="22"/>
        </w:rPr>
        <w:t xml:space="preserve">bien </w:t>
      </w:r>
      <w:r w:rsidRPr="00356D37">
        <w:rPr>
          <w:sz w:val="22"/>
          <w:szCs w:val="22"/>
        </w:rPr>
        <w:t>longue qui ne résout pas les problèmes assez vite.</w:t>
      </w:r>
      <w:r w:rsidR="00754B55" w:rsidRPr="00356D37">
        <w:rPr>
          <w:sz w:val="22"/>
          <w:szCs w:val="22"/>
        </w:rPr>
        <w:t xml:space="preserve"> Pour Baptiste, </w:t>
      </w:r>
      <w:r w:rsidR="00222923" w:rsidRPr="00356D37">
        <w:rPr>
          <w:sz w:val="22"/>
          <w:szCs w:val="22"/>
        </w:rPr>
        <w:t xml:space="preserve">le fait est que </w:t>
      </w:r>
      <w:r w:rsidR="00754B55" w:rsidRPr="00356D37">
        <w:rPr>
          <w:sz w:val="22"/>
          <w:szCs w:val="22"/>
        </w:rPr>
        <w:t xml:space="preserve">les préfets sont responsables de la qualité de l’eau. L’ARS a la responsabilité par ses analyses, mais celle-ci restent minimales. On recherche des bactéries, mais </w:t>
      </w:r>
      <w:r w:rsidR="00222923" w:rsidRPr="00356D37">
        <w:rPr>
          <w:sz w:val="22"/>
          <w:szCs w:val="22"/>
        </w:rPr>
        <w:t xml:space="preserve">les </w:t>
      </w:r>
      <w:r w:rsidR="00222923" w:rsidRPr="00356D37">
        <w:rPr>
          <w:sz w:val="22"/>
          <w:szCs w:val="22"/>
        </w:rPr>
        <w:lastRenderedPageBreak/>
        <w:t>pesticides ne sont pas comptabilisés. De p</w:t>
      </w:r>
      <w:r w:rsidR="00136A42">
        <w:rPr>
          <w:sz w:val="22"/>
          <w:szCs w:val="22"/>
        </w:rPr>
        <w:t xml:space="preserve">lus, 3 analyses par an sont </w:t>
      </w:r>
      <w:bookmarkStart w:id="0" w:name="_GoBack"/>
      <w:bookmarkEnd w:id="0"/>
      <w:r w:rsidR="00222923" w:rsidRPr="00356D37">
        <w:rPr>
          <w:sz w:val="22"/>
          <w:szCs w:val="22"/>
        </w:rPr>
        <w:t>insuffisant</w:t>
      </w:r>
      <w:r w:rsidR="00136A42">
        <w:rPr>
          <w:sz w:val="22"/>
          <w:szCs w:val="22"/>
        </w:rPr>
        <w:t>es</w:t>
      </w:r>
      <w:r w:rsidR="00222923" w:rsidRPr="00356D37">
        <w:rPr>
          <w:sz w:val="22"/>
          <w:szCs w:val="22"/>
        </w:rPr>
        <w:t>. Or</w:t>
      </w:r>
      <w:r w:rsidR="00136A42">
        <w:rPr>
          <w:sz w:val="22"/>
          <w:szCs w:val="22"/>
        </w:rPr>
        <w:t>,</w:t>
      </w:r>
      <w:r w:rsidR="00222923" w:rsidRPr="00356D37">
        <w:rPr>
          <w:sz w:val="22"/>
          <w:szCs w:val="22"/>
        </w:rPr>
        <w:t xml:space="preserve"> les stations d’épuration sont très polluées. Le filtrage est</w:t>
      </w:r>
      <w:r w:rsidR="00136A42">
        <w:rPr>
          <w:sz w:val="22"/>
          <w:szCs w:val="22"/>
        </w:rPr>
        <w:t xml:space="preserve"> très modeste</w:t>
      </w:r>
      <w:r w:rsidR="00222923" w:rsidRPr="00356D37">
        <w:rPr>
          <w:sz w:val="22"/>
          <w:szCs w:val="22"/>
        </w:rPr>
        <w:t>, avec un puisard, un réservoir avec di</w:t>
      </w:r>
      <w:r w:rsidR="00136A42">
        <w:rPr>
          <w:sz w:val="22"/>
          <w:szCs w:val="22"/>
        </w:rPr>
        <w:t>spersant biologique et filtrage</w:t>
      </w:r>
      <w:r w:rsidR="00222923" w:rsidRPr="00356D37">
        <w:rPr>
          <w:sz w:val="22"/>
          <w:szCs w:val="22"/>
        </w:rPr>
        <w:t xml:space="preserve"> par roseaux</w:t>
      </w:r>
      <w:r w:rsidR="00136A42">
        <w:rPr>
          <w:sz w:val="22"/>
          <w:szCs w:val="22"/>
        </w:rPr>
        <w:t>. Cette phyto-</w:t>
      </w:r>
      <w:r w:rsidR="00793F2E" w:rsidRPr="00356D37">
        <w:rPr>
          <w:sz w:val="22"/>
          <w:szCs w:val="22"/>
        </w:rPr>
        <w:t>épuration n’est pas assez performante et les bêtes ne s’approchent à moins de 3 kilomètres de la station d’épuration. De plus, il reste des boues à éliminer comme engrais.</w:t>
      </w:r>
    </w:p>
    <w:p w14:paraId="48A0AC25" w14:textId="08EBCC3C" w:rsidR="00793F2E" w:rsidRPr="00356D37" w:rsidRDefault="00793F2E" w:rsidP="00290DA9">
      <w:pPr>
        <w:pStyle w:val="Paragraphedeliste"/>
        <w:numPr>
          <w:ilvl w:val="3"/>
          <w:numId w:val="4"/>
        </w:numPr>
        <w:jc w:val="both"/>
        <w:rPr>
          <w:sz w:val="22"/>
          <w:szCs w:val="22"/>
        </w:rPr>
      </w:pPr>
      <w:r w:rsidRPr="00356D37">
        <w:rPr>
          <w:sz w:val="22"/>
          <w:szCs w:val="22"/>
        </w:rPr>
        <w:t xml:space="preserve">Le SAGE inclut des commissions où sont présents </w:t>
      </w:r>
      <w:r w:rsidR="00136A42">
        <w:rPr>
          <w:sz w:val="22"/>
          <w:szCs w:val="22"/>
        </w:rPr>
        <w:t>la FEDE, les JA, ainsi que SMSA</w:t>
      </w:r>
      <w:r w:rsidRPr="00356D37">
        <w:rPr>
          <w:sz w:val="22"/>
          <w:szCs w:val="22"/>
        </w:rPr>
        <w:t xml:space="preserve">, et </w:t>
      </w:r>
      <w:r w:rsidR="00136A42">
        <w:rPr>
          <w:sz w:val="22"/>
          <w:szCs w:val="22"/>
        </w:rPr>
        <w:t xml:space="preserve">la </w:t>
      </w:r>
      <w:r w:rsidRPr="00356D37">
        <w:rPr>
          <w:sz w:val="22"/>
          <w:szCs w:val="22"/>
        </w:rPr>
        <w:t>FDANE.</w:t>
      </w:r>
    </w:p>
    <w:p w14:paraId="56F8DAD6" w14:textId="77777777" w:rsidR="00E41980" w:rsidRPr="00356D37" w:rsidRDefault="00E41980" w:rsidP="00290DA9">
      <w:pPr>
        <w:pStyle w:val="Paragraphedeliste"/>
        <w:ind w:left="2160"/>
        <w:jc w:val="both"/>
        <w:rPr>
          <w:sz w:val="22"/>
          <w:szCs w:val="22"/>
        </w:rPr>
      </w:pPr>
    </w:p>
    <w:p w14:paraId="23F023F4" w14:textId="77777777" w:rsidR="00567B78" w:rsidRPr="00356D37" w:rsidRDefault="00567B78" w:rsidP="00290DA9">
      <w:pPr>
        <w:jc w:val="both"/>
        <w:rPr>
          <w:rFonts w:ascii="Times New Roman" w:eastAsia="Times New Roman" w:hAnsi="Times New Roman" w:cs="Times New Roman"/>
          <w:b/>
        </w:rPr>
      </w:pPr>
      <w:r w:rsidRPr="00356D37">
        <w:rPr>
          <w:rFonts w:eastAsiaTheme="minorEastAsia" w:hAnsi="Calibri"/>
          <w:b/>
          <w:i/>
          <w:iCs/>
          <w:color w:val="000000" w:themeColor="text1"/>
          <w:kern w:val="24"/>
        </w:rPr>
        <w:t>ADMINISTRATION</w:t>
      </w:r>
    </w:p>
    <w:p w14:paraId="4EA003CF" w14:textId="77777777" w:rsidR="00BA4E6F" w:rsidRPr="007E6D8F" w:rsidRDefault="00567B78" w:rsidP="00290DA9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lang w:eastAsia="fr-BE"/>
        </w:rPr>
      </w:pP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 xml:space="preserve">Pour satisfaire aux </w:t>
      </w:r>
      <w:r w:rsidR="00A81239"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>conditions de nos statuts</w:t>
      </w: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 xml:space="preserve">, quatre membres du conseil </w:t>
      </w:r>
      <w:r w:rsidR="00A81239"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 xml:space="preserve">– Baptiste, Henriette, Brigitte et Robert, </w:t>
      </w:r>
      <w:r w:rsidR="00793F2E"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>se port</w:t>
      </w: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 xml:space="preserve">ent </w:t>
      </w:r>
      <w:r w:rsidR="00A81239"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>démissionnaires mais sont de nouveau intégrés au bureau.</w:t>
      </w: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 xml:space="preserve"> </w:t>
      </w:r>
    </w:p>
    <w:p w14:paraId="6BBEF091" w14:textId="77777777" w:rsidR="00A81239" w:rsidRPr="007E6D8F" w:rsidRDefault="00A81239" w:rsidP="00290DA9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lang w:eastAsia="fr-BE"/>
        </w:rPr>
      </w:pP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>Bertrand Porot et Jean-Claude Fozza deviennent membres du conseil d’administration. Ceci est voté à l’unanimité des présents.</w:t>
      </w:r>
    </w:p>
    <w:p w14:paraId="171FD8C0" w14:textId="77777777" w:rsidR="00BA4E6F" w:rsidRPr="007E6D8F" w:rsidRDefault="00A81239" w:rsidP="00290DA9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lang w:eastAsia="fr-BE"/>
        </w:rPr>
      </w:pP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>A la suite de l’assemblée générale, le bureau est reconstitué comme suit :</w:t>
      </w:r>
    </w:p>
    <w:p w14:paraId="3BCAEAC8" w14:textId="77777777" w:rsidR="00A81239" w:rsidRPr="007E6D8F" w:rsidRDefault="00A81239" w:rsidP="00290DA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BE"/>
        </w:rPr>
      </w:pP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>Présidente</w:t>
      </w: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ab/>
      </w: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ab/>
        <w:t>Brigitte Revol</w:t>
      </w:r>
    </w:p>
    <w:p w14:paraId="729DDADD" w14:textId="03E98E04" w:rsidR="00A81239" w:rsidRPr="007E6D8F" w:rsidRDefault="00A81239" w:rsidP="00290DA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BE"/>
        </w:rPr>
      </w:pP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 xml:space="preserve">Vice-président </w:t>
      </w:r>
      <w:r w:rsid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 xml:space="preserve"> </w:t>
      </w: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ab/>
        <w:t xml:space="preserve">Robert Schilling  </w:t>
      </w:r>
    </w:p>
    <w:p w14:paraId="2CE232D1" w14:textId="77777777" w:rsidR="00A81239" w:rsidRPr="007E6D8F" w:rsidRDefault="00A81239" w:rsidP="00290DA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BE"/>
        </w:rPr>
      </w:pP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>Secrétaire</w:t>
      </w: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ab/>
      </w: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ab/>
        <w:t>Jean-Claude Fozza</w:t>
      </w:r>
    </w:p>
    <w:p w14:paraId="7CC4505E" w14:textId="77777777" w:rsidR="00A81239" w:rsidRPr="007E6D8F" w:rsidRDefault="00A81239" w:rsidP="00290DA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BE"/>
        </w:rPr>
      </w:pP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>Trésorière</w:t>
      </w: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ab/>
      </w:r>
      <w:r w:rsidRPr="007E6D8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fr-BE"/>
        </w:rPr>
        <w:tab/>
        <w:t xml:space="preserve">Henriette Cros </w:t>
      </w:r>
    </w:p>
    <w:p w14:paraId="124C1B31" w14:textId="77777777" w:rsidR="00A81239" w:rsidRPr="007E6D8F" w:rsidRDefault="00A81239" w:rsidP="00290DA9">
      <w:pPr>
        <w:pStyle w:val="Paragraphedeliste"/>
        <w:ind w:left="1440"/>
        <w:jc w:val="both"/>
        <w:rPr>
          <w:sz w:val="22"/>
          <w:szCs w:val="22"/>
        </w:rPr>
      </w:pPr>
    </w:p>
    <w:p w14:paraId="0CBBCFCA" w14:textId="5442A348" w:rsidR="00A81239" w:rsidRPr="007E6D8F" w:rsidRDefault="00A81239" w:rsidP="00290DA9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r w:rsidRPr="007E6D8F">
        <w:rPr>
          <w:rFonts w:eastAsiaTheme="minorEastAsia"/>
          <w:iCs/>
          <w:color w:val="000000" w:themeColor="text1"/>
          <w:kern w:val="24"/>
          <w:sz w:val="22"/>
          <w:szCs w:val="22"/>
        </w:rPr>
        <w:t xml:space="preserve">Le siège social </w:t>
      </w:r>
      <w:r w:rsidR="00136A42" w:rsidRPr="007E6D8F">
        <w:rPr>
          <w:rFonts w:eastAsiaTheme="minorEastAsia"/>
          <w:iCs/>
          <w:color w:val="000000" w:themeColor="text1"/>
          <w:kern w:val="24"/>
          <w:sz w:val="22"/>
          <w:szCs w:val="22"/>
        </w:rPr>
        <w:t xml:space="preserve">est désormais </w:t>
      </w:r>
      <w:r w:rsidRPr="007E6D8F">
        <w:rPr>
          <w:rFonts w:eastAsiaTheme="minorEastAsia"/>
          <w:iCs/>
          <w:color w:val="000000" w:themeColor="text1"/>
          <w:kern w:val="24"/>
          <w:sz w:val="22"/>
          <w:szCs w:val="22"/>
        </w:rPr>
        <w:t>transféré à l’adresse suivante</w:t>
      </w:r>
      <w:r w:rsidR="00BB2EBB" w:rsidRPr="007E6D8F">
        <w:rPr>
          <w:sz w:val="22"/>
          <w:szCs w:val="22"/>
        </w:rPr>
        <w:t xml:space="preserve"> : </w:t>
      </w:r>
      <w:r w:rsidRPr="007E6D8F">
        <w:rPr>
          <w:sz w:val="22"/>
          <w:szCs w:val="22"/>
        </w:rPr>
        <w:t>Le Cammas, 15340 Sénezergues</w:t>
      </w:r>
    </w:p>
    <w:p w14:paraId="1C1F3993" w14:textId="77777777" w:rsidR="00BA4E6F" w:rsidRPr="00356D37" w:rsidRDefault="00BA4E6F" w:rsidP="00290DA9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lang w:eastAsia="fr-BE"/>
        </w:rPr>
      </w:pPr>
    </w:p>
    <w:p w14:paraId="74F070ED" w14:textId="77777777" w:rsidR="00BA4E6F" w:rsidRPr="00356D37" w:rsidRDefault="00BA4E6F" w:rsidP="00290DA9">
      <w:p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lang w:eastAsia="fr-BE"/>
        </w:rPr>
      </w:pPr>
    </w:p>
    <w:p w14:paraId="47291A99" w14:textId="77777777" w:rsidR="009E2229" w:rsidRPr="00356D37" w:rsidRDefault="009E2229" w:rsidP="00290DA9">
      <w:pPr>
        <w:jc w:val="both"/>
      </w:pPr>
    </w:p>
    <w:sectPr w:rsidR="009E2229" w:rsidRPr="00356D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C4762" w14:textId="77777777" w:rsidR="00136A42" w:rsidRDefault="00136A42" w:rsidP="0066063A">
      <w:pPr>
        <w:spacing w:after="0" w:line="240" w:lineRule="auto"/>
      </w:pPr>
      <w:r>
        <w:separator/>
      </w:r>
    </w:p>
  </w:endnote>
  <w:endnote w:type="continuationSeparator" w:id="0">
    <w:p w14:paraId="50F48A19" w14:textId="77777777" w:rsidR="00136A42" w:rsidRDefault="00136A42" w:rsidP="0066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850507"/>
      <w:docPartObj>
        <w:docPartGallery w:val="Page Numbers (Bottom of Page)"/>
        <w:docPartUnique/>
      </w:docPartObj>
    </w:sdtPr>
    <w:sdtEndPr/>
    <w:sdtContent>
      <w:p w14:paraId="76DA9F34" w14:textId="77777777" w:rsidR="00136A42" w:rsidRDefault="00136A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2C" w:rsidRPr="006E472C">
          <w:rPr>
            <w:noProof/>
            <w:lang w:val="fr-FR"/>
          </w:rPr>
          <w:t>2</w:t>
        </w:r>
        <w:r>
          <w:fldChar w:fldCharType="end"/>
        </w:r>
      </w:p>
    </w:sdtContent>
  </w:sdt>
  <w:p w14:paraId="3C1A9450" w14:textId="77777777" w:rsidR="00136A42" w:rsidRDefault="00136A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4C02" w14:textId="77777777" w:rsidR="00136A42" w:rsidRDefault="00136A42" w:rsidP="0066063A">
      <w:pPr>
        <w:spacing w:after="0" w:line="240" w:lineRule="auto"/>
      </w:pPr>
      <w:r>
        <w:separator/>
      </w:r>
    </w:p>
  </w:footnote>
  <w:footnote w:type="continuationSeparator" w:id="0">
    <w:p w14:paraId="370EF38E" w14:textId="77777777" w:rsidR="00136A42" w:rsidRDefault="00136A42" w:rsidP="0066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715"/>
    <w:multiLevelType w:val="hybridMultilevel"/>
    <w:tmpl w:val="C35AF220"/>
    <w:lvl w:ilvl="0" w:tplc="3EC8E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3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46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24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67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0C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E0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C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E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42353D"/>
    <w:multiLevelType w:val="hybridMultilevel"/>
    <w:tmpl w:val="98BE17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C48"/>
    <w:multiLevelType w:val="hybridMultilevel"/>
    <w:tmpl w:val="E978639E"/>
    <w:lvl w:ilvl="0" w:tplc="22C67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66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6A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2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62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6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C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2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A2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836A51"/>
    <w:multiLevelType w:val="hybridMultilevel"/>
    <w:tmpl w:val="9AE490A0"/>
    <w:lvl w:ilvl="0" w:tplc="A85EB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EA6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86E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62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24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A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C5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2F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0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6F"/>
    <w:rsid w:val="000244A3"/>
    <w:rsid w:val="00040E8E"/>
    <w:rsid w:val="000F56C2"/>
    <w:rsid w:val="00136A42"/>
    <w:rsid w:val="00222923"/>
    <w:rsid w:val="00290DA9"/>
    <w:rsid w:val="00301905"/>
    <w:rsid w:val="00332E2C"/>
    <w:rsid w:val="00356D37"/>
    <w:rsid w:val="003D5F25"/>
    <w:rsid w:val="00440EF9"/>
    <w:rsid w:val="00475C9D"/>
    <w:rsid w:val="00567B78"/>
    <w:rsid w:val="0066063A"/>
    <w:rsid w:val="00670198"/>
    <w:rsid w:val="006A4CD6"/>
    <w:rsid w:val="006E472C"/>
    <w:rsid w:val="006E51A2"/>
    <w:rsid w:val="00721913"/>
    <w:rsid w:val="00754B55"/>
    <w:rsid w:val="00793F2E"/>
    <w:rsid w:val="007D76C7"/>
    <w:rsid w:val="007E6D8F"/>
    <w:rsid w:val="00801367"/>
    <w:rsid w:val="009A276B"/>
    <w:rsid w:val="009E2229"/>
    <w:rsid w:val="00A03CCC"/>
    <w:rsid w:val="00A57007"/>
    <w:rsid w:val="00A81239"/>
    <w:rsid w:val="00B503B0"/>
    <w:rsid w:val="00B6555D"/>
    <w:rsid w:val="00B76F1B"/>
    <w:rsid w:val="00BA4E6F"/>
    <w:rsid w:val="00BB2EBB"/>
    <w:rsid w:val="00C60B0B"/>
    <w:rsid w:val="00C6133B"/>
    <w:rsid w:val="00D24A03"/>
    <w:rsid w:val="00D518F8"/>
    <w:rsid w:val="00D55D9C"/>
    <w:rsid w:val="00E41980"/>
    <w:rsid w:val="00E41DCC"/>
    <w:rsid w:val="00EE1ACD"/>
    <w:rsid w:val="00F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C6C54"/>
  <w15:docId w15:val="{1A5977BE-43E3-4887-A6C2-AA84A65E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BA4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6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63A"/>
  </w:style>
  <w:style w:type="paragraph" w:styleId="Pieddepage">
    <w:name w:val="footer"/>
    <w:basedOn w:val="Normal"/>
    <w:link w:val="PieddepageCar"/>
    <w:uiPriority w:val="99"/>
    <w:unhideWhenUsed/>
    <w:rsid w:val="0066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6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1075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2016-08-06T14:19:00Z</cp:lastPrinted>
  <dcterms:created xsi:type="dcterms:W3CDTF">2016-08-10T09:27:00Z</dcterms:created>
  <dcterms:modified xsi:type="dcterms:W3CDTF">2016-08-10T16:37:00Z</dcterms:modified>
</cp:coreProperties>
</file>